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Vetlanda kommunfullmäktige</w:t>
      </w:r>
    </w:p>
    <w:p>
      <w:pPr>
        <w:pStyle w:val="Heading1"/>
      </w:pPr>
      <w:r>
        <w:t xml:space="preserve">Förenklade tillståndsprocesser för 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Centerpartiet i Vetlanda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Vetlanda rankas 142 i företagsklimat (Svenskt Näringsliv 2025). Långa handläggningstider för bygglov och miljöprövningar nämns som hinder av lokala företagare i Svenskt Näringslivs enkät.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Centerpartiet i Vetlanda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tidsgarantier på maximalt 6 veckor för bygglov under 500 kvm.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sänka avgifterna för bygglov och markupplåtelse med 15 % från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inrätta en företagslots som samordnar tillstånd mellan förvaltningar.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mäta och redovisa handläggningstider till näringslivsrådet.</w:t>
      </w:r>
    </w:p>
    <w:p>
      <w:pPr>
        <w:spacing w:before="360"/>
      </w:pPr>
    </w:p>
    <w:p>
      <w:r>
        <w:t xml:space="preserve">Vetlanda,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Centerpartiet i Vetlanda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2026-07-14T01:48:20.969Z</dcterms:created>
  <dcterms:modified xsi:type="dcterms:W3CDTF">2026-07-14T01:48:20.969Z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